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78" w:rsidRDefault="00F06AFE">
      <w:pPr>
        <w:jc w:val="both"/>
      </w:pPr>
      <w:bookmarkStart w:id="0" w:name="_GoBack"/>
      <w:bookmarkEnd w:id="0"/>
      <w:r>
        <w:t>Appendix 2</w:t>
      </w:r>
    </w:p>
    <w:p w:rsidR="004A1778" w:rsidRDefault="004A1778">
      <w:pPr>
        <w:jc w:val="both"/>
      </w:pPr>
    </w:p>
    <w:p w:rsidR="004A1778" w:rsidRDefault="00F06AFE">
      <w:pPr>
        <w:pStyle w:val="Default"/>
        <w:jc w:val="center"/>
      </w:pPr>
      <w:r>
        <w:rPr>
          <w:rFonts w:ascii="Times New Roman" w:hAnsi="Times New Roman" w:cs="Times New Roman"/>
          <w:sz w:val="32"/>
          <w:szCs w:val="32"/>
        </w:rPr>
        <w:t>National Taipei University of Education Implementation Guidelines for Graduate</w:t>
      </w:r>
      <w:r>
        <w:rPr>
          <w:rFonts w:ascii="Times New Roman" w:hAnsi="Times New Roman" w:cs="Times New Roman"/>
          <w:sz w:val="32"/>
          <w:szCs w:val="32"/>
        </w:rPr>
        <w:t xml:space="preserve"> Student Career Counseling Group </w:t>
      </w:r>
    </w:p>
    <w:p w:rsidR="004A1778" w:rsidRDefault="00F06AFE">
      <w:pPr>
        <w:pStyle w:val="Default"/>
        <w:jc w:val="right"/>
        <w:rPr>
          <w:rFonts w:ascii="Times New Roman" w:hAnsi="Times New Roman" w:cs="Times New Roman"/>
        </w:rPr>
      </w:pPr>
      <w:r>
        <w:rPr>
          <w:rFonts w:ascii="Times New Roman" w:hAnsi="Times New Roman" w:cs="Times New Roman"/>
        </w:rPr>
        <w:t>Approved June 25, 2014 at the 107</w:t>
      </w:r>
      <w:r>
        <w:rPr>
          <w:rFonts w:ascii="Times New Roman" w:hAnsi="Times New Roman" w:cs="Times New Roman"/>
          <w:vertAlign w:val="superscript"/>
        </w:rPr>
        <w:t>th</w:t>
      </w:r>
      <w:r>
        <w:rPr>
          <w:rFonts w:ascii="Times New Roman" w:hAnsi="Times New Roman" w:cs="Times New Roman"/>
        </w:rPr>
        <w:t xml:space="preserve"> Administrative Meeting</w:t>
      </w:r>
    </w:p>
    <w:p w:rsidR="004A1778" w:rsidRDefault="00F06AFE">
      <w:pPr>
        <w:jc w:val="right"/>
      </w:pPr>
      <w:r>
        <w:rPr>
          <w:szCs w:val="24"/>
        </w:rPr>
        <w:t>Amended and approved September 24, 2</w:t>
      </w:r>
      <w:r>
        <w:rPr>
          <w:szCs w:val="24"/>
          <w:lang w:eastAsia="zh-CN"/>
        </w:rPr>
        <w:t>01</w:t>
      </w:r>
      <w:r>
        <w:rPr>
          <w:szCs w:val="24"/>
        </w:rPr>
        <w:t>4 at the 110</w:t>
      </w:r>
      <w:r>
        <w:rPr>
          <w:szCs w:val="24"/>
          <w:vertAlign w:val="superscript"/>
        </w:rPr>
        <w:t>th</w:t>
      </w:r>
      <w:r>
        <w:rPr>
          <w:szCs w:val="24"/>
        </w:rPr>
        <w:t xml:space="preserve"> Administrative Meeting </w:t>
      </w:r>
    </w:p>
    <w:p w:rsidR="004A1778" w:rsidRDefault="00F06AFE">
      <w:pPr>
        <w:jc w:val="right"/>
        <w:rPr>
          <w:szCs w:val="24"/>
        </w:rPr>
      </w:pPr>
      <w:r>
        <w:rPr>
          <w:szCs w:val="24"/>
        </w:rPr>
        <w:t>Approved April 29, 2015 at the 116</w:t>
      </w:r>
      <w:r>
        <w:rPr>
          <w:szCs w:val="24"/>
          <w:vertAlign w:val="superscript"/>
        </w:rPr>
        <w:t>th</w:t>
      </w:r>
      <w:r>
        <w:rPr>
          <w:szCs w:val="24"/>
        </w:rPr>
        <w:t xml:space="preserve"> Administrative Meeting </w:t>
      </w:r>
    </w:p>
    <w:p w:rsidR="004A1778" w:rsidRDefault="004A1778">
      <w:pPr>
        <w:jc w:val="center"/>
        <w:rPr>
          <w:sz w:val="23"/>
          <w:szCs w:val="23"/>
        </w:rPr>
      </w:pPr>
    </w:p>
    <w:p w:rsidR="004A1778" w:rsidRDefault="00F06AFE">
      <w:pPr>
        <w:pStyle w:val="Default"/>
        <w:snapToGrid w:val="0"/>
        <w:spacing w:beforeAutospacing="1" w:afterAutospacing="1"/>
        <w:ind w:left="520" w:hanging="520"/>
        <w:jc w:val="both"/>
      </w:pPr>
      <w:r>
        <w:rPr>
          <w:rFonts w:ascii="Times New Roman" w:hAnsi="Times New Roman" w:cs="Times New Roman"/>
          <w:sz w:val="26"/>
          <w:szCs w:val="26"/>
        </w:rPr>
        <w:t xml:space="preserve">I. </w:t>
      </w:r>
      <w:r>
        <w:rPr>
          <w:rFonts w:ascii="Times New Roman" w:hAnsi="Times New Roman" w:cs="Times New Roman"/>
          <w:sz w:val="28"/>
          <w:szCs w:val="28"/>
        </w:rPr>
        <w:t>These guidelines have been drafted to enhance the results of the career counseling initiatives drawn up by the National Taipei University of Education</w:t>
      </w:r>
      <w:r>
        <w:rPr>
          <w:rFonts w:ascii="Times New Roman" w:hAnsi="Times New Roman" w:cs="Times New Roman"/>
          <w:sz w:val="28"/>
          <w:szCs w:val="28"/>
        </w:rPr>
        <w:t xml:space="preserve"> </w:t>
      </w:r>
      <w:r>
        <w:rPr>
          <w:rFonts w:ascii="Times New Roman" w:hAnsi="Times New Roman" w:cs="Times New Roman"/>
          <w:sz w:val="28"/>
          <w:szCs w:val="28"/>
          <w:lang w:eastAsia="zh-CN"/>
        </w:rPr>
        <w:t>(hereinafter re</w:t>
      </w:r>
      <w:r>
        <w:rPr>
          <w:rFonts w:ascii="Times New Roman" w:hAnsi="Times New Roman" w:cs="Times New Roman"/>
          <w:sz w:val="28"/>
          <w:szCs w:val="28"/>
          <w:lang w:eastAsia="zh-CN"/>
        </w:rPr>
        <w:t>ferred to as the University)</w:t>
      </w:r>
      <w:r>
        <w:rPr>
          <w:rFonts w:ascii="Times New Roman" w:hAnsi="Times New Roman" w:cs="Times New Roman"/>
          <w:sz w:val="28"/>
          <w:szCs w:val="28"/>
        </w:rPr>
        <w:t xml:space="preserve"> for graduate </w:t>
      </w:r>
      <w:r>
        <w:rPr>
          <w:rFonts w:ascii="Times New Roman" w:hAnsi="Times New Roman" w:cs="Times New Roman"/>
          <w:sz w:val="28"/>
          <w:szCs w:val="28"/>
        </w:rPr>
        <w:t>students</w:t>
      </w:r>
      <w:r>
        <w:rPr>
          <w:rFonts w:ascii="Times New Roman" w:hAnsi="Times New Roman" w:cs="Times New Roman"/>
          <w:sz w:val="28"/>
          <w:szCs w:val="28"/>
        </w:rPr>
        <w:t xml:space="preserve"> (</w:t>
      </w:r>
      <w:r>
        <w:rPr>
          <w:rFonts w:ascii="Times New Roman" w:hAnsi="Times New Roman" w:cs="Times New Roman"/>
          <w:sz w:val="28"/>
          <w:szCs w:val="28"/>
          <w:lang w:eastAsia="zh-CN"/>
        </w:rPr>
        <w:t>including the College of Continuing Education)</w:t>
      </w:r>
      <w:r>
        <w:rPr>
          <w:rFonts w:ascii="Times New Roman" w:hAnsi="Times New Roman" w:cs="Times New Roman"/>
          <w:sz w:val="28"/>
          <w:szCs w:val="28"/>
        </w:rPr>
        <w:t xml:space="preserve">. </w:t>
      </w:r>
    </w:p>
    <w:p w:rsidR="004A1778" w:rsidRDefault="00F06AFE">
      <w:pPr>
        <w:pStyle w:val="Default"/>
        <w:snapToGrid w:val="0"/>
        <w:spacing w:beforeAutospacing="1" w:afterAutospacing="1"/>
        <w:jc w:val="both"/>
        <w:rPr>
          <w:rFonts w:ascii="Times New Roman" w:hAnsi="Times New Roman" w:cs="Times New Roman"/>
          <w:sz w:val="28"/>
          <w:szCs w:val="28"/>
        </w:rPr>
      </w:pPr>
      <w:r>
        <w:rPr>
          <w:rFonts w:ascii="Times New Roman" w:hAnsi="Times New Roman" w:cs="Times New Roman"/>
          <w:sz w:val="28"/>
          <w:szCs w:val="28"/>
        </w:rPr>
        <w:t>II. Procedure:</w:t>
      </w:r>
    </w:p>
    <w:p w:rsidR="004A1778" w:rsidRDefault="00F06AFE">
      <w:pPr>
        <w:pStyle w:val="Default"/>
        <w:snapToGrid w:val="0"/>
        <w:spacing w:beforeAutospacing="1" w:afterAutospacing="1"/>
        <w:ind w:left="480"/>
        <w:jc w:val="both"/>
      </w:pPr>
      <w:r>
        <w:rPr>
          <w:rFonts w:ascii="Times New Roman" w:hAnsi="Times New Roman" w:cs="Times New Roman"/>
          <w:color w:val="00000A"/>
          <w:sz w:val="28"/>
          <w:szCs w:val="28"/>
        </w:rPr>
        <w:t xml:space="preserve">Primary focus is on MA, MS, and PhD classes, with first and second year students each forming a “graduate </w:t>
      </w:r>
      <w:r>
        <w:rPr>
          <w:rFonts w:ascii="Times New Roman" w:hAnsi="Times New Roman" w:cs="Times New Roman"/>
          <w:color w:val="00000A"/>
          <w:sz w:val="28"/>
          <w:szCs w:val="28"/>
        </w:rPr>
        <w:t xml:space="preserve">student career counseling group.” Each department will choose and appoint an instructor to serve as adviser to enhance the professional skills and capabilities of students in both master and doctorate programs.   </w:t>
      </w:r>
    </w:p>
    <w:p w:rsidR="004A1778" w:rsidRDefault="00F06AFE">
      <w:pPr>
        <w:pStyle w:val="Default"/>
        <w:snapToGrid w:val="0"/>
        <w:spacing w:beforeAutospacing="1" w:afterAutospacing="1"/>
        <w:jc w:val="both"/>
      </w:pPr>
      <w:r>
        <w:rPr>
          <w:rFonts w:ascii="Times New Roman" w:hAnsi="Times New Roman" w:cs="Times New Roman"/>
          <w:sz w:val="28"/>
          <w:szCs w:val="28"/>
        </w:rPr>
        <w:t>III. Responsibilities of the adviser of th</w:t>
      </w:r>
      <w:r>
        <w:rPr>
          <w:rFonts w:ascii="Times New Roman" w:hAnsi="Times New Roman" w:cs="Times New Roman"/>
          <w:sz w:val="28"/>
          <w:szCs w:val="28"/>
        </w:rPr>
        <w:t xml:space="preserve">e graduate </w:t>
      </w:r>
      <w:r>
        <w:rPr>
          <w:rFonts w:ascii="Times New Roman" w:hAnsi="Times New Roman" w:cs="Times New Roman"/>
          <w:sz w:val="28"/>
          <w:szCs w:val="28"/>
        </w:rPr>
        <w:t>student group:</w:t>
      </w:r>
    </w:p>
    <w:p w:rsidR="004A1778" w:rsidRDefault="00F06AFE">
      <w:pPr>
        <w:pStyle w:val="Default"/>
        <w:snapToGrid w:val="0"/>
        <w:ind w:left="1040" w:hanging="560"/>
        <w:jc w:val="both"/>
      </w:pPr>
      <w:r>
        <w:rPr>
          <w:rFonts w:ascii="Times New Roman" w:hAnsi="Times New Roman" w:cs="Times New Roman"/>
          <w:sz w:val="28"/>
          <w:szCs w:val="28"/>
        </w:rPr>
        <w:t xml:space="preserve">(1) Look into </w:t>
      </w:r>
      <w:r>
        <w:rPr>
          <w:rFonts w:ascii="Times New Roman" w:hAnsi="Times New Roman" w:cs="Times New Roman"/>
          <w:sz w:val="28"/>
          <w:szCs w:val="28"/>
          <w:lang w:eastAsia="zh-CN"/>
        </w:rPr>
        <w:t xml:space="preserve">the </w:t>
      </w:r>
      <w:r>
        <w:rPr>
          <w:rFonts w:ascii="Times New Roman" w:hAnsi="Times New Roman" w:cs="Times New Roman"/>
          <w:sz w:val="28"/>
          <w:szCs w:val="28"/>
        </w:rPr>
        <w:t>learning status of the graduate</w:t>
      </w:r>
      <w:r>
        <w:rPr>
          <w:rFonts w:ascii="Times New Roman" w:hAnsi="Times New Roman" w:cs="Times New Roman"/>
          <w:sz w:val="28"/>
          <w:szCs w:val="28"/>
        </w:rPr>
        <w:t xml:space="preserve"> student and assist in drafting learning plans. </w:t>
      </w:r>
    </w:p>
    <w:p w:rsidR="004A1778" w:rsidRDefault="00F06AFE">
      <w:pPr>
        <w:pStyle w:val="Default"/>
        <w:snapToGrid w:val="0"/>
        <w:ind w:left="1040" w:hanging="560"/>
        <w:jc w:val="both"/>
        <w:rPr>
          <w:rFonts w:ascii="Times New Roman" w:hAnsi="Times New Roman" w:cs="Times New Roman"/>
          <w:sz w:val="28"/>
          <w:szCs w:val="28"/>
        </w:rPr>
      </w:pPr>
      <w:r>
        <w:rPr>
          <w:rFonts w:ascii="Times New Roman" w:hAnsi="Times New Roman" w:cs="Times New Roman"/>
          <w:sz w:val="28"/>
          <w:szCs w:val="28"/>
        </w:rPr>
        <w:t xml:space="preserve">(2) Guide students in ascertaining academic research direction. </w:t>
      </w:r>
    </w:p>
    <w:p w:rsidR="004A1778" w:rsidRDefault="00F06AFE">
      <w:pPr>
        <w:pStyle w:val="Default"/>
        <w:snapToGrid w:val="0"/>
        <w:ind w:left="1040" w:hanging="560"/>
        <w:jc w:val="both"/>
        <w:rPr>
          <w:rFonts w:ascii="Times New Roman" w:hAnsi="Times New Roman" w:cs="Times New Roman"/>
          <w:sz w:val="28"/>
          <w:szCs w:val="28"/>
        </w:rPr>
      </w:pPr>
      <w:r>
        <w:rPr>
          <w:rFonts w:ascii="Times New Roman" w:hAnsi="Times New Roman" w:cs="Times New Roman"/>
          <w:sz w:val="28"/>
          <w:szCs w:val="28"/>
        </w:rPr>
        <w:t>(3) Assist in recommending thesis advisers.</w:t>
      </w:r>
    </w:p>
    <w:p w:rsidR="004A1778" w:rsidRDefault="00F06AFE">
      <w:pPr>
        <w:pStyle w:val="Default"/>
        <w:snapToGrid w:val="0"/>
        <w:ind w:left="1040" w:hanging="560"/>
        <w:jc w:val="both"/>
        <w:rPr>
          <w:rFonts w:ascii="Times New Roman" w:hAnsi="Times New Roman" w:cs="Times New Roman"/>
          <w:sz w:val="28"/>
          <w:szCs w:val="28"/>
        </w:rPr>
      </w:pPr>
      <w:r>
        <w:rPr>
          <w:rFonts w:ascii="Times New Roman" w:hAnsi="Times New Roman" w:cs="Times New Roman"/>
          <w:sz w:val="28"/>
          <w:szCs w:val="28"/>
        </w:rPr>
        <w:t>(4) Provi</w:t>
      </w:r>
      <w:r>
        <w:rPr>
          <w:rFonts w:ascii="Times New Roman" w:hAnsi="Times New Roman" w:cs="Times New Roman"/>
          <w:sz w:val="28"/>
          <w:szCs w:val="28"/>
        </w:rPr>
        <w:t>de recommendations and counseling in the area of career development.</w:t>
      </w:r>
    </w:p>
    <w:p w:rsidR="004A1778" w:rsidRDefault="00F06AFE">
      <w:pPr>
        <w:pStyle w:val="Default"/>
        <w:snapToGrid w:val="0"/>
        <w:ind w:left="1040" w:hanging="560"/>
        <w:jc w:val="both"/>
        <w:rPr>
          <w:rFonts w:ascii="Times New Roman" w:hAnsi="Times New Roman" w:cs="Times New Roman"/>
          <w:sz w:val="28"/>
          <w:szCs w:val="28"/>
        </w:rPr>
      </w:pPr>
      <w:r>
        <w:rPr>
          <w:rFonts w:ascii="Times New Roman" w:hAnsi="Times New Roman" w:cs="Times New Roman"/>
          <w:sz w:val="28"/>
          <w:szCs w:val="28"/>
        </w:rPr>
        <w:t>(5) Provide support to students in resume writing and career planning.</w:t>
      </w:r>
    </w:p>
    <w:p w:rsidR="004A1778" w:rsidRDefault="00F06AFE">
      <w:pPr>
        <w:pStyle w:val="Default"/>
        <w:snapToGrid w:val="0"/>
        <w:ind w:left="1040" w:hanging="560"/>
        <w:jc w:val="both"/>
      </w:pPr>
      <w:r>
        <w:rPr>
          <w:rFonts w:ascii="Times New Roman" w:hAnsi="Times New Roman" w:cs="Times New Roman"/>
          <w:sz w:val="28"/>
          <w:szCs w:val="28"/>
        </w:rPr>
        <w:t xml:space="preserve">(6) Supervise students in filling out the group activity log after the activity has been carried out and submit </w:t>
      </w:r>
      <w:r>
        <w:rPr>
          <w:rFonts w:ascii="Times New Roman" w:hAnsi="Times New Roman" w:cs="Times New Roman"/>
          <w:sz w:val="28"/>
          <w:szCs w:val="28"/>
          <w:lang w:eastAsia="zh-CN"/>
        </w:rPr>
        <w:t>logs</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to the Division of Life Counseling of the Office of Student Affairs or the </w:t>
      </w:r>
      <w:r>
        <w:rPr>
          <w:rFonts w:ascii="Times New Roman" w:hAnsi="Times New Roman" w:cs="Times New Roman"/>
          <w:sz w:val="28"/>
          <w:szCs w:val="28"/>
          <w:lang w:eastAsia="zh-CN"/>
        </w:rPr>
        <w:t>College of Continuing Education</w:t>
      </w:r>
      <w:r>
        <w:rPr>
          <w:rFonts w:ascii="Times New Roman" w:hAnsi="Times New Roman" w:cs="Times New Roman"/>
          <w:sz w:val="28"/>
          <w:szCs w:val="28"/>
        </w:rPr>
        <w:t xml:space="preserve">.   </w:t>
      </w:r>
    </w:p>
    <w:p w:rsidR="004A1778" w:rsidRDefault="00F06AFE">
      <w:pPr>
        <w:pStyle w:val="Default"/>
        <w:snapToGrid w:val="0"/>
        <w:ind w:left="1040" w:hanging="560"/>
        <w:jc w:val="both"/>
        <w:rPr>
          <w:rFonts w:ascii="Times New Roman" w:hAnsi="Times New Roman" w:cs="Times New Roman"/>
          <w:sz w:val="28"/>
          <w:szCs w:val="28"/>
        </w:rPr>
      </w:pPr>
      <w:r>
        <w:rPr>
          <w:rFonts w:ascii="Times New Roman" w:hAnsi="Times New Roman" w:cs="Times New Roman"/>
          <w:sz w:val="28"/>
          <w:szCs w:val="28"/>
        </w:rPr>
        <w:t>(7) Other items related to career development</w:t>
      </w:r>
    </w:p>
    <w:p w:rsidR="004A1778" w:rsidRDefault="00F06AFE">
      <w:pPr>
        <w:pStyle w:val="Default"/>
        <w:snapToGrid w:val="0"/>
        <w:spacing w:beforeAutospacing="1" w:afterAutospacing="1"/>
        <w:ind w:left="560" w:hanging="560"/>
        <w:jc w:val="both"/>
      </w:pPr>
      <w:r>
        <w:rPr>
          <w:rFonts w:ascii="Times New Roman" w:hAnsi="Times New Roman" w:cs="Times New Roman"/>
          <w:sz w:val="28"/>
          <w:szCs w:val="28"/>
        </w:rPr>
        <w:t xml:space="preserve">IV. Two weeks before the opening of every school year, each </w:t>
      </w:r>
      <w:r>
        <w:rPr>
          <w:rFonts w:ascii="Times New Roman" w:hAnsi="Times New Roman" w:cs="Times New Roman"/>
          <w:sz w:val="28"/>
          <w:szCs w:val="28"/>
        </w:rPr>
        <w:t>department should appoint an adviser for the “</w:t>
      </w:r>
      <w:r>
        <w:rPr>
          <w:rFonts w:ascii="Times New Roman" w:hAnsi="Times New Roman" w:cs="Times New Roman"/>
          <w:color w:val="00000A"/>
          <w:sz w:val="28"/>
          <w:szCs w:val="28"/>
        </w:rPr>
        <w:t xml:space="preserve">graduate </w:t>
      </w:r>
      <w:r>
        <w:rPr>
          <w:rFonts w:ascii="Times New Roman" w:hAnsi="Times New Roman" w:cs="Times New Roman"/>
          <w:color w:val="00000A"/>
          <w:sz w:val="28"/>
          <w:szCs w:val="28"/>
        </w:rPr>
        <w:t xml:space="preserve">student career counseling group” and send the list of students to the </w:t>
      </w:r>
      <w:r>
        <w:rPr>
          <w:rFonts w:ascii="Times New Roman" w:hAnsi="Times New Roman" w:cs="Times New Roman"/>
          <w:sz w:val="28"/>
          <w:szCs w:val="28"/>
        </w:rPr>
        <w:t xml:space="preserve">Division of Life Counseling of the Office of Student Affairs or the </w:t>
      </w:r>
      <w:r>
        <w:rPr>
          <w:rFonts w:ascii="Times New Roman" w:hAnsi="Times New Roman" w:cs="Times New Roman"/>
          <w:sz w:val="28"/>
          <w:szCs w:val="28"/>
          <w:lang w:eastAsia="zh-CN"/>
        </w:rPr>
        <w:t>Center of Continuing Education of the College of Continuing Education</w:t>
      </w:r>
      <w:r>
        <w:rPr>
          <w:rFonts w:ascii="Times New Roman" w:hAnsi="Times New Roman" w:cs="Times New Roman"/>
          <w:sz w:val="28"/>
          <w:szCs w:val="28"/>
          <w:lang w:eastAsia="zh-CN"/>
        </w:rPr>
        <w:t xml:space="preserve"> for </w:t>
      </w:r>
      <w:r>
        <w:rPr>
          <w:rFonts w:ascii="Times New Roman" w:hAnsi="Times New Roman" w:cs="Times New Roman"/>
          <w:sz w:val="28"/>
          <w:szCs w:val="28"/>
          <w:lang w:eastAsia="zh-CN"/>
        </w:rPr>
        <w:t>filing</w:t>
      </w:r>
      <w:r>
        <w:rPr>
          <w:rFonts w:ascii="Times New Roman" w:hAnsi="Times New Roman" w:cs="Times New Roman"/>
          <w:sz w:val="28"/>
          <w:szCs w:val="28"/>
        </w:rPr>
        <w:t xml:space="preserve">. The term for the adviser is one year, which may be extended. </w:t>
      </w:r>
      <w:r>
        <w:rPr>
          <w:rFonts w:ascii="Times New Roman" w:hAnsi="Times New Roman" w:cs="Times New Roman"/>
          <w:color w:val="00000A"/>
          <w:sz w:val="28"/>
          <w:szCs w:val="28"/>
        </w:rPr>
        <w:t xml:space="preserve"> </w:t>
      </w:r>
    </w:p>
    <w:p w:rsidR="004A1778" w:rsidRDefault="00F06AFE">
      <w:pPr>
        <w:pStyle w:val="Default"/>
        <w:snapToGrid w:val="0"/>
        <w:spacing w:beforeAutospacing="1" w:afterAutospacing="1"/>
        <w:jc w:val="both"/>
        <w:rPr>
          <w:rFonts w:ascii="Times New Roman" w:hAnsi="Times New Roman" w:cs="Times New Roman"/>
          <w:sz w:val="28"/>
          <w:szCs w:val="28"/>
        </w:rPr>
      </w:pPr>
      <w:r>
        <w:rPr>
          <w:rFonts w:ascii="Times New Roman" w:hAnsi="Times New Roman" w:cs="Times New Roman"/>
          <w:sz w:val="28"/>
          <w:szCs w:val="28"/>
        </w:rPr>
        <w:t xml:space="preserve">V. Fees: </w:t>
      </w:r>
    </w:p>
    <w:p w:rsidR="004A1778" w:rsidRDefault="00F06AFE">
      <w:pPr>
        <w:pStyle w:val="Default"/>
        <w:snapToGrid w:val="0"/>
        <w:spacing w:beforeAutospacing="1" w:afterAutospacing="1"/>
        <w:ind w:left="480"/>
        <w:jc w:val="both"/>
      </w:pPr>
      <w:r>
        <w:rPr>
          <w:rFonts w:ascii="Times New Roman" w:hAnsi="Times New Roman" w:cs="Times New Roman"/>
          <w:sz w:val="28"/>
          <w:szCs w:val="28"/>
        </w:rPr>
        <w:t>Adviser’s fee for the “</w:t>
      </w:r>
      <w:r>
        <w:rPr>
          <w:rFonts w:ascii="Times New Roman" w:hAnsi="Times New Roman" w:cs="Times New Roman"/>
          <w:color w:val="00000A"/>
          <w:sz w:val="28"/>
          <w:szCs w:val="28"/>
        </w:rPr>
        <w:t>graduate</w:t>
      </w:r>
      <w:r>
        <w:rPr>
          <w:rFonts w:ascii="Times New Roman" w:hAnsi="Times New Roman" w:cs="Times New Roman"/>
          <w:color w:val="00000A"/>
          <w:sz w:val="28"/>
          <w:szCs w:val="28"/>
        </w:rPr>
        <w:t xml:space="preserve"> student career counseling group” will be collected base</w:t>
      </w:r>
      <w:r>
        <w:rPr>
          <w:rFonts w:ascii="Times New Roman" w:hAnsi="Times New Roman" w:cs="Times New Roman"/>
          <w:color w:val="00000A"/>
          <w:sz w:val="28"/>
          <w:szCs w:val="28"/>
        </w:rPr>
        <w:t xml:space="preserve">d on the number of enrolled students in the first and second year classes of the </w:t>
      </w:r>
      <w:r>
        <w:rPr>
          <w:rFonts w:ascii="Times New Roman" w:hAnsi="Times New Roman" w:cs="Times New Roman"/>
          <w:color w:val="00000A"/>
          <w:sz w:val="28"/>
          <w:szCs w:val="28"/>
        </w:rPr>
        <w:lastRenderedPageBreak/>
        <w:t>master and doctorate programs with the monthly rates as follows: for classes with 1 – 10 students NT$1,250; 11 – 15 students, NT$1,875; 16 – 20 students, NT$2,500; 21 – 25 stu</w:t>
      </w:r>
      <w:r>
        <w:rPr>
          <w:rFonts w:ascii="Times New Roman" w:hAnsi="Times New Roman" w:cs="Times New Roman"/>
          <w:color w:val="00000A"/>
          <w:sz w:val="28"/>
          <w:szCs w:val="28"/>
        </w:rPr>
        <w:t xml:space="preserve">dents, NT$3,125 and; 26 – 30 students, NT$3,750. These monies shall be for a total of nine months for day and night students and two months for summer school students per year.  </w:t>
      </w:r>
    </w:p>
    <w:p w:rsidR="004A1778" w:rsidRDefault="00F06AFE">
      <w:pPr>
        <w:pStyle w:val="Default"/>
        <w:snapToGrid w:val="0"/>
        <w:spacing w:beforeAutospacing="1" w:afterAutospacing="1"/>
        <w:ind w:left="560" w:hanging="560"/>
        <w:jc w:val="both"/>
      </w:pPr>
      <w:r>
        <w:rPr>
          <w:rFonts w:ascii="Times New Roman" w:hAnsi="Times New Roman" w:cs="Times New Roman"/>
          <w:sz w:val="28"/>
          <w:szCs w:val="28"/>
        </w:rPr>
        <w:t xml:space="preserve">VI. These </w:t>
      </w:r>
      <w:r>
        <w:rPr>
          <w:rFonts w:ascii="Times New Roman" w:hAnsi="Times New Roman" w:cs="Times New Roman"/>
          <w:sz w:val="28"/>
          <w:szCs w:val="28"/>
          <w:lang w:eastAsia="zh-CN"/>
        </w:rPr>
        <w:t>G</w:t>
      </w:r>
      <w:r>
        <w:rPr>
          <w:rFonts w:ascii="Times New Roman" w:hAnsi="Times New Roman" w:cs="Times New Roman"/>
          <w:sz w:val="28"/>
          <w:szCs w:val="28"/>
        </w:rPr>
        <w:t xml:space="preserve">uidelines have been </w:t>
      </w:r>
      <w:r>
        <w:rPr>
          <w:rFonts w:ascii="Times New Roman" w:hAnsi="Times New Roman" w:cs="Times New Roman"/>
          <w:sz w:val="28"/>
          <w:szCs w:val="28"/>
          <w:lang w:eastAsia="zh-CN"/>
        </w:rPr>
        <w:t>approved by</w:t>
      </w:r>
      <w:r>
        <w:rPr>
          <w:rFonts w:ascii="Times New Roman" w:hAnsi="Times New Roman" w:cs="Times New Roman"/>
          <w:sz w:val="28"/>
          <w:szCs w:val="28"/>
        </w:rPr>
        <w:t xml:space="preserve"> the Administrative Meeting</w:t>
      </w:r>
      <w:r>
        <w:rPr>
          <w:rFonts w:ascii="Times New Roman" w:hAnsi="Times New Roman" w:cs="Times New Roman"/>
          <w:sz w:val="28"/>
          <w:szCs w:val="28"/>
        </w:rPr>
        <w:t xml:space="preserve"> </w:t>
      </w:r>
      <w:r>
        <w:rPr>
          <w:rFonts w:ascii="Times New Roman" w:hAnsi="Times New Roman" w:cs="Times New Roman"/>
          <w:sz w:val="28"/>
          <w:szCs w:val="28"/>
          <w:lang w:eastAsia="zh-CN"/>
        </w:rPr>
        <w:t xml:space="preserve">of the </w:t>
      </w:r>
      <w:r>
        <w:rPr>
          <w:rFonts w:ascii="Times New Roman" w:hAnsi="Times New Roman" w:cs="Times New Roman"/>
          <w:sz w:val="28"/>
          <w:szCs w:val="28"/>
          <w:lang w:eastAsia="zh-CN"/>
        </w:rPr>
        <w:t xml:space="preserve">University </w:t>
      </w:r>
      <w:r>
        <w:rPr>
          <w:rFonts w:ascii="Times New Roman" w:hAnsi="Times New Roman" w:cs="Times New Roman"/>
          <w:sz w:val="28"/>
          <w:szCs w:val="28"/>
        </w:rPr>
        <w:t xml:space="preserve">and </w:t>
      </w:r>
      <w:r>
        <w:rPr>
          <w:rFonts w:ascii="Times New Roman" w:hAnsi="Times New Roman" w:cs="Times New Roman"/>
          <w:sz w:val="28"/>
          <w:szCs w:val="28"/>
        </w:rPr>
        <w:t xml:space="preserve">implemented </w:t>
      </w:r>
      <w:r>
        <w:rPr>
          <w:rFonts w:ascii="Times New Roman" w:hAnsi="Times New Roman" w:cs="Times New Roman"/>
          <w:sz w:val="28"/>
          <w:szCs w:val="28"/>
          <w:lang w:eastAsia="zh-CN"/>
        </w:rPr>
        <w:t xml:space="preserve">following </w:t>
      </w:r>
      <w:r>
        <w:rPr>
          <w:rFonts w:ascii="Times New Roman" w:hAnsi="Times New Roman" w:cs="Times New Roman"/>
          <w:sz w:val="28"/>
          <w:szCs w:val="28"/>
        </w:rPr>
        <w:t xml:space="preserve">approval </w:t>
      </w:r>
      <w:r>
        <w:rPr>
          <w:rFonts w:ascii="Times New Roman" w:hAnsi="Times New Roman" w:cs="Times New Roman"/>
          <w:sz w:val="28"/>
          <w:szCs w:val="28"/>
          <w:lang w:eastAsia="zh-CN"/>
        </w:rPr>
        <w:t>by</w:t>
      </w:r>
      <w:r>
        <w:rPr>
          <w:rFonts w:ascii="Times New Roman" w:hAnsi="Times New Roman" w:cs="Times New Roman"/>
          <w:sz w:val="28"/>
          <w:szCs w:val="28"/>
        </w:rPr>
        <w:t xml:space="preserve"> the </w:t>
      </w:r>
      <w:r>
        <w:rPr>
          <w:rFonts w:ascii="Times New Roman" w:hAnsi="Times New Roman" w:cs="Times New Roman"/>
          <w:sz w:val="28"/>
          <w:szCs w:val="28"/>
          <w:lang w:eastAsia="zh-CN"/>
        </w:rPr>
        <w:t>U</w:t>
      </w:r>
      <w:r>
        <w:rPr>
          <w:rFonts w:ascii="Times New Roman" w:hAnsi="Times New Roman" w:cs="Times New Roman"/>
          <w:sz w:val="28"/>
          <w:szCs w:val="28"/>
        </w:rPr>
        <w:t xml:space="preserve">niversity </w:t>
      </w:r>
      <w:r>
        <w:rPr>
          <w:rFonts w:ascii="Times New Roman" w:hAnsi="Times New Roman" w:cs="Times New Roman"/>
          <w:sz w:val="28"/>
          <w:szCs w:val="28"/>
          <w:lang w:eastAsia="zh-CN"/>
        </w:rPr>
        <w:t>P</w:t>
      </w:r>
      <w:r>
        <w:rPr>
          <w:rFonts w:ascii="Times New Roman" w:hAnsi="Times New Roman" w:cs="Times New Roman"/>
          <w:sz w:val="28"/>
          <w:szCs w:val="28"/>
        </w:rPr>
        <w:t xml:space="preserve">resident. </w:t>
      </w:r>
    </w:p>
    <w:p w:rsidR="004A1778" w:rsidRDefault="004A1778">
      <w:pPr>
        <w:ind w:right="140"/>
        <w:jc w:val="right"/>
      </w:pPr>
    </w:p>
    <w:sectPr w:rsidR="004A1778">
      <w:pgSz w:w="11906" w:h="16838"/>
      <w:pgMar w:top="851" w:right="1134" w:bottom="851" w:left="1134" w:header="0" w:footer="0" w:gutter="0"/>
      <w:cols w:space="720"/>
      <w:formProt w:val="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panose1 w:val="00000000000000000000"/>
    <w:charset w:val="88"/>
    <w:family w:val="roman"/>
    <w:notTrueType/>
    <w:pitch w:val="default"/>
  </w:font>
  <w:font w:name="Liberation Sans">
    <w:altName w:val="Adobe 繁黑體 Std B"/>
    <w:charset w:val="88"/>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78"/>
    <w:rsid w:val="004A1778"/>
    <w:rsid w:val="00F06AFE"/>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3AD3-1EAC-42DE-BEDC-0DFBC5B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A5"/>
    <w:pPr>
      <w:widowControl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uiPriority w:val="99"/>
    <w:qFormat/>
    <w:rsid w:val="009B5A20"/>
    <w:rPr>
      <w:rFonts w:ascii="Times New Roman" w:hAnsi="Times New Roman"/>
    </w:rPr>
  </w:style>
  <w:style w:type="character" w:customStyle="1" w:styleId="a4">
    <w:name w:val="頁尾 字元"/>
    <w:uiPriority w:val="99"/>
    <w:qFormat/>
    <w:rsid w:val="009B5A20"/>
    <w:rPr>
      <w:rFonts w:ascii="Times New Roman" w:hAnsi="Times New Roman"/>
    </w:rPr>
  </w:style>
  <w:style w:type="character" w:customStyle="1" w:styleId="HTML">
    <w:name w:val="HTML 預設格式 字元"/>
    <w:link w:val="HTML"/>
    <w:qFormat/>
    <w:rsid w:val="00D050B4"/>
    <w:rPr>
      <w:rFonts w:ascii="細明體" w:eastAsia="細明體" w:hAnsi="細明體"/>
    </w:rPr>
  </w:style>
  <w:style w:type="character" w:customStyle="1" w:styleId="a5">
    <w:name w:val="註解方塊文字 字元"/>
    <w:basedOn w:val="a0"/>
    <w:uiPriority w:val="99"/>
    <w:semiHidden/>
    <w:qFormat/>
    <w:rsid w:val="00EE2668"/>
    <w:rPr>
      <w:rFonts w:asciiTheme="majorHAnsi" w:eastAsiaTheme="majorEastAsia" w:hAnsiTheme="majorHAnsi" w:cstheme="majorBidi"/>
      <w:sz w:val="18"/>
      <w:szCs w:val="18"/>
    </w:rPr>
  </w:style>
  <w:style w:type="character" w:customStyle="1" w:styleId="ListLabel1">
    <w:name w:val="ListLabel 1"/>
    <w:qFormat/>
    <w:rPr>
      <w:rFonts w:eastAsia="標楷體"/>
      <w:b w:val="0"/>
      <w:i w:val="0"/>
      <w:sz w:val="28"/>
      <w:lang w:val="en-US"/>
    </w:rPr>
  </w:style>
  <w:style w:type="character" w:customStyle="1" w:styleId="ListLabel2">
    <w:name w:val="ListLabel 2"/>
    <w:qFormat/>
    <w:rPr>
      <w:rFonts w:eastAsia="標楷體"/>
      <w:b w:val="0"/>
      <w:i w:val="0"/>
      <w:sz w:val="28"/>
      <w:lang w:val="en-US"/>
    </w:rPr>
  </w:style>
  <w:style w:type="character" w:customStyle="1" w:styleId="ListLabel3">
    <w:name w:val="ListLabel 3"/>
    <w:qFormat/>
    <w:rPr>
      <w:lang w:val="en-US"/>
    </w:rPr>
  </w:style>
  <w:style w:type="character" w:customStyle="1" w:styleId="ListLabel4">
    <w:name w:val="ListLabel 4"/>
    <w:qFormat/>
    <w:rPr>
      <w:lang w:val="en-US"/>
    </w:rPr>
  </w:style>
  <w:style w:type="character" w:customStyle="1" w:styleId="ListLabel5">
    <w:name w:val="ListLabel 5"/>
    <w:qFormat/>
    <w:rPr>
      <w:lang w:val="en-US"/>
    </w:rPr>
  </w:style>
  <w:style w:type="character" w:customStyle="1" w:styleId="ListLabel6">
    <w:name w:val="ListLabel 6"/>
    <w:qFormat/>
    <w:rPr>
      <w:rFonts w:eastAsia="華康標楷體"/>
      <w:sz w:val="24"/>
      <w:szCs w:val="24"/>
    </w:rPr>
  </w:style>
  <w:style w:type="character" w:customStyle="1" w:styleId="ListLabel7">
    <w:name w:val="ListLabel 7"/>
    <w:qFormat/>
    <w:rPr>
      <w:rFonts w:eastAsia="標楷體"/>
      <w:strike w:val="0"/>
      <w:dstrike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color w:val="00000A"/>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paragraph" w:customStyle="1" w:styleId="Heading">
    <w:name w:val="Heading"/>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Index">
    <w:name w:val="Index"/>
    <w:basedOn w:val="a"/>
    <w:qFormat/>
    <w:pPr>
      <w:suppressLineNumbers/>
    </w:pPr>
    <w:rPr>
      <w:rFonts w:cs="Lucida Sans"/>
    </w:rPr>
  </w:style>
  <w:style w:type="paragraph" w:styleId="a9">
    <w:name w:val="header"/>
    <w:basedOn w:val="a"/>
    <w:uiPriority w:val="99"/>
    <w:unhideWhenUsed/>
    <w:rsid w:val="009B5A20"/>
    <w:pPr>
      <w:tabs>
        <w:tab w:val="center" w:pos="4153"/>
        <w:tab w:val="right" w:pos="8306"/>
      </w:tabs>
      <w:snapToGrid w:val="0"/>
    </w:pPr>
    <w:rPr>
      <w:sz w:val="20"/>
    </w:rPr>
  </w:style>
  <w:style w:type="paragraph" w:styleId="aa">
    <w:name w:val="footer"/>
    <w:basedOn w:val="a"/>
    <w:uiPriority w:val="99"/>
    <w:unhideWhenUsed/>
    <w:rsid w:val="009B5A20"/>
    <w:pPr>
      <w:tabs>
        <w:tab w:val="center" w:pos="4153"/>
        <w:tab w:val="right" w:pos="8306"/>
      </w:tabs>
      <w:snapToGrid w:val="0"/>
    </w:pPr>
    <w:rPr>
      <w:sz w:val="20"/>
    </w:rPr>
  </w:style>
  <w:style w:type="paragraph" w:customStyle="1" w:styleId="Default">
    <w:name w:val="Default"/>
    <w:qFormat/>
    <w:rsid w:val="00743DBF"/>
    <w:pPr>
      <w:widowControl w:val="0"/>
    </w:pPr>
    <w:rPr>
      <w:rFonts w:ascii="標楷體" w:eastAsia="標楷體" w:hAnsi="標楷體" w:cs="標楷體"/>
      <w:color w:val="000000"/>
      <w:sz w:val="24"/>
      <w:szCs w:val="24"/>
    </w:rPr>
  </w:style>
  <w:style w:type="paragraph" w:styleId="HTML0">
    <w:name w:val="HTML Preformatted"/>
    <w:basedOn w:val="a"/>
    <w:unhideWhenUsed/>
    <w:qFormat/>
    <w:rsid w:val="00D05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eastAsia="細明體" w:hAnsi="細明體"/>
      <w:sz w:val="20"/>
    </w:rPr>
  </w:style>
  <w:style w:type="paragraph" w:styleId="ab">
    <w:name w:val="List Paragraph"/>
    <w:basedOn w:val="a"/>
    <w:uiPriority w:val="34"/>
    <w:qFormat/>
    <w:rsid w:val="00BB03AB"/>
    <w:pPr>
      <w:spacing w:line="240" w:lineRule="auto"/>
      <w:ind w:left="480"/>
      <w:textAlignment w:val="auto"/>
    </w:pPr>
    <w:rPr>
      <w:rFonts w:ascii="Calibri" w:hAnsi="Calibri"/>
      <w:kern w:val="2"/>
      <w:szCs w:val="22"/>
    </w:rPr>
  </w:style>
  <w:style w:type="paragraph" w:styleId="ac">
    <w:name w:val="Balloon Text"/>
    <w:basedOn w:val="a"/>
    <w:uiPriority w:val="99"/>
    <w:semiHidden/>
    <w:unhideWhenUsed/>
    <w:qFormat/>
    <w:rsid w:val="00EE2668"/>
    <w:pPr>
      <w:spacing w:line="240" w:lineRule="auto"/>
    </w:pPr>
    <w:rPr>
      <w:rFonts w:asciiTheme="majorHAnsi" w:eastAsiaTheme="majorEastAsia" w:hAnsiTheme="majorHAnsi" w:cstheme="majorBidi"/>
      <w:sz w:val="18"/>
      <w:szCs w:val="18"/>
    </w:rPr>
  </w:style>
  <w:style w:type="table" w:styleId="ad">
    <w:name w:val="Table Grid"/>
    <w:basedOn w:val="a1"/>
    <w:uiPriority w:val="59"/>
    <w:rsid w:val="00B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FAD46-EB0E-4385-873D-F37F07D7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11</cp:revision>
  <cp:lastPrinted>2017-02-23T07:30:00Z</cp:lastPrinted>
  <dcterms:created xsi:type="dcterms:W3CDTF">2017-09-26T00:56:00Z</dcterms:created>
  <dcterms:modified xsi:type="dcterms:W3CDTF">2017-09-28T08:18:00Z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